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F678F4" w:rsidRDefault="00F678F4" w:rsidP="00D95C3C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>
              <w:rPr>
                <w:b/>
                <w:sz w:val="20"/>
                <w:szCs w:val="20"/>
              </w:rPr>
              <w:t xml:space="preserve"> – Template 2</w:t>
            </w:r>
          </w:p>
          <w:p w:rsidR="00F678F4" w:rsidRPr="00B25405" w:rsidRDefault="00892D5D" w:rsidP="00A40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035</w:t>
            </w:r>
          </w:p>
        </w:tc>
      </w:tr>
      <w:tr w:rsidR="00F678F4" w:rsidTr="00D95C3C">
        <w:tc>
          <w:tcPr>
            <w:tcW w:w="3256" w:type="dxa"/>
            <w:tcBorders>
              <w:bottom w:val="single" w:sz="4" w:space="0" w:color="auto"/>
            </w:tcBorders>
          </w:tcPr>
          <w:p w:rsidR="00F678F4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BA7E2F" w:rsidRDefault="00181252" w:rsidP="0052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Capital Financing Charges </w:t>
            </w:r>
          </w:p>
          <w:p w:rsidR="00521422" w:rsidRPr="00B25405" w:rsidRDefault="00521422" w:rsidP="00521422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D578F4" w:rsidRPr="00464AA4" w:rsidRDefault="00F678F4" w:rsidP="00464AA4">
            <w:pPr>
              <w:rPr>
                <w:sz w:val="20"/>
                <w:szCs w:val="20"/>
              </w:rPr>
            </w:pPr>
            <w:r w:rsidRPr="00464AA4">
              <w:rPr>
                <w:sz w:val="20"/>
                <w:szCs w:val="20"/>
              </w:rPr>
              <w:t>Service description</w:t>
            </w:r>
            <w:r w:rsidR="00464AA4">
              <w:rPr>
                <w:sz w:val="20"/>
                <w:szCs w:val="20"/>
              </w:rPr>
              <w:t xml:space="preserve"> – please see </w:t>
            </w:r>
            <w:r w:rsidR="002A04FC">
              <w:rPr>
                <w:sz w:val="20"/>
                <w:szCs w:val="20"/>
              </w:rPr>
              <w:t>below</w:t>
            </w:r>
          </w:p>
          <w:p w:rsidR="00F678F4" w:rsidRPr="00B25405" w:rsidRDefault="00F678F4" w:rsidP="00D578F4">
            <w:pPr>
              <w:rPr>
                <w:sz w:val="20"/>
                <w:szCs w:val="20"/>
              </w:rPr>
            </w:pPr>
          </w:p>
        </w:tc>
      </w:tr>
      <w:tr w:rsidR="00F678F4" w:rsidTr="00D95C3C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A87562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A87562" w:rsidRPr="004D588F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7562" w:rsidRPr="00F32F81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37.085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87562" w:rsidRPr="00F32F81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36.789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87562" w:rsidRPr="00F32F81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36.330</w:t>
            </w:r>
          </w:p>
        </w:tc>
      </w:tr>
      <w:tr w:rsidR="00A87562" w:rsidTr="00D95C3C">
        <w:tc>
          <w:tcPr>
            <w:tcW w:w="3256" w:type="dxa"/>
            <w:shd w:val="clear" w:color="auto" w:fill="auto"/>
          </w:tcPr>
          <w:p w:rsidR="00A87562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A87562" w:rsidRPr="00F32F81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A87562" w:rsidRPr="00F32F81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A87562" w:rsidRPr="00F32F81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87562" w:rsidTr="00D95C3C">
        <w:tc>
          <w:tcPr>
            <w:tcW w:w="3256" w:type="dxa"/>
          </w:tcPr>
          <w:p w:rsidR="00A87562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A87562" w:rsidRDefault="00A87562" w:rsidP="00A87562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37.085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36.789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36.330</w:t>
            </w:r>
          </w:p>
        </w:tc>
      </w:tr>
      <w:tr w:rsidR="00A87562" w:rsidTr="00D95C3C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87562" w:rsidRPr="001774BD" w:rsidRDefault="00A87562" w:rsidP="00A8756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</w:tr>
      <w:tr w:rsidR="00A87562" w:rsidTr="00FA25AC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A87562" w:rsidRPr="00E43B74" w:rsidRDefault="00A87562" w:rsidP="00A87562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-9.500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</w:tr>
      <w:tr w:rsidR="00A87562" w:rsidTr="00D95C3C">
        <w:tc>
          <w:tcPr>
            <w:tcW w:w="3256" w:type="dxa"/>
            <w:tcBorders>
              <w:right w:val="single" w:sz="4" w:space="0" w:color="auto"/>
            </w:tcBorders>
          </w:tcPr>
          <w:p w:rsidR="00A87562" w:rsidRPr="00EA1D7C" w:rsidRDefault="00A87562" w:rsidP="00A87562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-5.774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-5.774</w:t>
            </w:r>
          </w:p>
        </w:tc>
      </w:tr>
      <w:tr w:rsidR="00A87562" w:rsidTr="00D95C3C">
        <w:tc>
          <w:tcPr>
            <w:tcW w:w="3256" w:type="dxa"/>
            <w:tcBorders>
              <w:right w:val="single" w:sz="4" w:space="0" w:color="auto"/>
            </w:tcBorders>
          </w:tcPr>
          <w:p w:rsidR="00A87562" w:rsidRPr="00EA1D7C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87562" w:rsidTr="00D95C3C">
        <w:tc>
          <w:tcPr>
            <w:tcW w:w="3256" w:type="dxa"/>
            <w:shd w:val="clear" w:color="auto" w:fill="auto"/>
          </w:tcPr>
          <w:p w:rsidR="00A87562" w:rsidRPr="004D588F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A87562" w:rsidRPr="00C844FA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A87562" w:rsidRPr="00C844FA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A87562" w:rsidRPr="00C844FA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87562" w:rsidTr="00D95C3C">
        <w:tc>
          <w:tcPr>
            <w:tcW w:w="3256" w:type="dxa"/>
            <w:shd w:val="clear" w:color="auto" w:fill="auto"/>
          </w:tcPr>
          <w:p w:rsidR="00A87562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A87562" w:rsidRPr="00C844FA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A87562" w:rsidRPr="00C844FA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A87562" w:rsidRPr="00C844FA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87562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562" w:rsidRPr="00EA1D7C" w:rsidRDefault="00A87562" w:rsidP="00A875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562" w:rsidRPr="00F32F81" w:rsidRDefault="00A87562" w:rsidP="00A8756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27.585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562" w:rsidRPr="00F32F81" w:rsidRDefault="00A87562" w:rsidP="00A8756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31.015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562" w:rsidRPr="00F32F81" w:rsidRDefault="00A87562" w:rsidP="00A8756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30.556</w:t>
            </w:r>
          </w:p>
        </w:tc>
      </w:tr>
      <w:tr w:rsidR="00A87562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A87562" w:rsidRPr="00F26FCF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-7.000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-7.000</w:t>
            </w:r>
          </w:p>
        </w:tc>
      </w:tr>
      <w:tr w:rsidR="00A87562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A87562" w:rsidRPr="00F26FCF" w:rsidRDefault="00A87562" w:rsidP="00A87562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A87562" w:rsidRPr="00F32F81" w:rsidRDefault="00A87562" w:rsidP="00A8756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27.585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A87562" w:rsidRPr="00F32F81" w:rsidRDefault="00A87562" w:rsidP="00A8756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24.015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A87562" w:rsidRPr="00F32F81" w:rsidRDefault="00A87562" w:rsidP="00A8756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23.556</w:t>
            </w:r>
          </w:p>
        </w:tc>
      </w:tr>
      <w:tr w:rsidR="00A87562" w:rsidTr="00D95C3C">
        <w:tc>
          <w:tcPr>
            <w:tcW w:w="3256" w:type="dxa"/>
            <w:shd w:val="clear" w:color="auto" w:fill="auto"/>
          </w:tcPr>
          <w:p w:rsidR="00A87562" w:rsidRPr="00B25405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DA28F4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87562" w:rsidTr="00D95C3C">
        <w:tc>
          <w:tcPr>
            <w:tcW w:w="3256" w:type="dxa"/>
          </w:tcPr>
          <w:p w:rsidR="00A87562" w:rsidRDefault="00A87562" w:rsidP="00A87562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A87562" w:rsidRPr="00B25405" w:rsidRDefault="00A87562" w:rsidP="00A87562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A87562" w:rsidRPr="00B25405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basis for calculating the minimum revenue provision is to be changed. This will extend the period over which debt will be repaid and an annuity rather than a straight line basis is to be used to calculate the charge where appropriate.</w:t>
            </w:r>
          </w:p>
        </w:tc>
      </w:tr>
      <w:tr w:rsidR="00A87562" w:rsidTr="00D95C3C">
        <w:tc>
          <w:tcPr>
            <w:tcW w:w="3256" w:type="dxa"/>
          </w:tcPr>
          <w:p w:rsidR="00A87562" w:rsidRPr="0066742C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A87562" w:rsidRPr="00BD66EB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proposal is a financing rather than a service change. Therefore there  is no direct impact on services. Costs will increase in later years putting pressure on services</w:t>
            </w:r>
          </w:p>
        </w:tc>
      </w:tr>
      <w:tr w:rsidR="00A87562" w:rsidTr="00D95C3C">
        <w:tc>
          <w:tcPr>
            <w:tcW w:w="3256" w:type="dxa"/>
          </w:tcPr>
          <w:p w:rsidR="00A87562" w:rsidRPr="00B25405" w:rsidRDefault="00A87562" w:rsidP="00A87562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A87562" w:rsidRPr="00BD66EB" w:rsidRDefault="00A87562" w:rsidP="00A8756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D66EB">
              <w:rPr>
                <w:sz w:val="20"/>
                <w:szCs w:val="20"/>
              </w:rPr>
              <w:t xml:space="preserve"> </w:t>
            </w:r>
            <w:r w:rsidRPr="00205BF7">
              <w:rPr>
                <w:sz w:val="20"/>
                <w:szCs w:val="20"/>
              </w:rPr>
              <w:t>Minimum Revenue Provision Policy needs to be approved by the full County Council to change basis of the calculation</w:t>
            </w:r>
          </w:p>
        </w:tc>
      </w:tr>
      <w:tr w:rsidR="00A87562" w:rsidTr="00D95C3C">
        <w:tc>
          <w:tcPr>
            <w:tcW w:w="3256" w:type="dxa"/>
          </w:tcPr>
          <w:p w:rsidR="00A87562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  <w:p w:rsidR="002A04FC" w:rsidRPr="00B25405" w:rsidRDefault="002A04FC" w:rsidP="00A87562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A87562" w:rsidRPr="00BD66EB" w:rsidRDefault="00ED4B6D" w:rsidP="00A87562">
            <w:pPr>
              <w:pStyle w:val="ListParagraph"/>
              <w:ind w:left="33"/>
              <w:rPr>
                <w:sz w:val="20"/>
                <w:szCs w:val="20"/>
              </w:rPr>
            </w:pPr>
            <w:hyperlink r:id="rId5" w:history="1">
              <w:r w:rsidR="005F16DE">
                <w:rPr>
                  <w:rStyle w:val="Hyperlink"/>
                  <w:sz w:val="20"/>
                  <w:szCs w:val="20"/>
                </w:rPr>
                <w:t>Click here to vie</w:t>
              </w:r>
              <w:bookmarkStart w:id="0" w:name="_GoBack"/>
              <w:bookmarkEnd w:id="0"/>
              <w:r w:rsidR="005F16DE">
                <w:rPr>
                  <w:rStyle w:val="Hyperlink"/>
                  <w:sz w:val="20"/>
                  <w:szCs w:val="20"/>
                </w:rPr>
                <w:t>w</w:t>
              </w:r>
              <w:r w:rsidR="005F16DE">
                <w:rPr>
                  <w:rStyle w:val="Hyperlink"/>
                  <w:sz w:val="20"/>
                  <w:szCs w:val="20"/>
                </w:rPr>
                <w:t xml:space="preserve"> document</w:t>
              </w:r>
            </w:hyperlink>
          </w:p>
        </w:tc>
      </w:tr>
    </w:tbl>
    <w:p w:rsidR="0047450A" w:rsidRDefault="0047450A"/>
    <w:p w:rsidR="00181252" w:rsidRDefault="00C425D6" w:rsidP="002A04FC">
      <w:pPr>
        <w:rPr>
          <w:b/>
          <w:sz w:val="20"/>
          <w:szCs w:val="20"/>
        </w:rPr>
      </w:pPr>
      <w:r w:rsidRPr="00464AA4">
        <w:rPr>
          <w:b/>
          <w:sz w:val="20"/>
          <w:szCs w:val="20"/>
        </w:rPr>
        <w:t>What does this service deliver?</w:t>
      </w:r>
    </w:p>
    <w:p w:rsidR="00181252" w:rsidRPr="00181252" w:rsidRDefault="00181252" w:rsidP="00464AA4">
      <w:pPr>
        <w:pStyle w:val="ListParagraph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181252">
        <w:rPr>
          <w:sz w:val="20"/>
          <w:szCs w:val="20"/>
        </w:rPr>
        <w:t xml:space="preserve">The County Council has a statutory responsibility to </w:t>
      </w:r>
      <w:r>
        <w:rPr>
          <w:sz w:val="20"/>
          <w:szCs w:val="20"/>
        </w:rPr>
        <w:t xml:space="preserve">make </w:t>
      </w:r>
      <w:r w:rsidR="00205BF7" w:rsidRPr="00205BF7">
        <w:rPr>
          <w:sz w:val="20"/>
          <w:szCs w:val="20"/>
        </w:rPr>
        <w:t>an annual charge to the revenue account to pay for capital expenditure that was originally funded by debt</w:t>
      </w:r>
      <w:r w:rsidR="00205BF7">
        <w:rPr>
          <w:sz w:val="20"/>
          <w:szCs w:val="20"/>
        </w:rPr>
        <w:t xml:space="preserve">. The minimum charge </w:t>
      </w:r>
      <w:r w:rsidR="002431A4">
        <w:rPr>
          <w:sz w:val="20"/>
          <w:szCs w:val="20"/>
        </w:rPr>
        <w:t xml:space="preserve">to be made in any year </w:t>
      </w:r>
      <w:r w:rsidR="00205BF7">
        <w:rPr>
          <w:sz w:val="20"/>
          <w:szCs w:val="20"/>
        </w:rPr>
        <w:t>is referred to as the minimum revenue provision</w:t>
      </w:r>
      <w:r w:rsidR="002431A4">
        <w:rPr>
          <w:sz w:val="20"/>
          <w:szCs w:val="20"/>
        </w:rPr>
        <w:t xml:space="preserve"> (MRP) and is made in accordance with a policy agreed by the full County Council.</w:t>
      </w:r>
    </w:p>
    <w:sectPr w:rsidR="00181252" w:rsidRPr="00181252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6FD"/>
    <w:multiLevelType w:val="hybridMultilevel"/>
    <w:tmpl w:val="3CEC9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B52"/>
    <w:multiLevelType w:val="hybridMultilevel"/>
    <w:tmpl w:val="84E47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36BE6"/>
    <w:multiLevelType w:val="hybridMultilevel"/>
    <w:tmpl w:val="B512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370F7"/>
    <w:multiLevelType w:val="hybridMultilevel"/>
    <w:tmpl w:val="BF96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609F9"/>
    <w:rsid w:val="000B5FD8"/>
    <w:rsid w:val="00171785"/>
    <w:rsid w:val="00181252"/>
    <w:rsid w:val="00193486"/>
    <w:rsid w:val="001B0D61"/>
    <w:rsid w:val="001E53E0"/>
    <w:rsid w:val="00205BF7"/>
    <w:rsid w:val="002431A4"/>
    <w:rsid w:val="0029630D"/>
    <w:rsid w:val="002A04FC"/>
    <w:rsid w:val="00464AA4"/>
    <w:rsid w:val="0047450A"/>
    <w:rsid w:val="004F1869"/>
    <w:rsid w:val="00521422"/>
    <w:rsid w:val="005B2D1A"/>
    <w:rsid w:val="005D478D"/>
    <w:rsid w:val="005F16DE"/>
    <w:rsid w:val="006C6162"/>
    <w:rsid w:val="007F77D9"/>
    <w:rsid w:val="00892D5D"/>
    <w:rsid w:val="00A408CD"/>
    <w:rsid w:val="00A509EE"/>
    <w:rsid w:val="00A71A37"/>
    <w:rsid w:val="00A87562"/>
    <w:rsid w:val="00B6550B"/>
    <w:rsid w:val="00B6713C"/>
    <w:rsid w:val="00B80B5F"/>
    <w:rsid w:val="00B93150"/>
    <w:rsid w:val="00BA7E2F"/>
    <w:rsid w:val="00BD66EB"/>
    <w:rsid w:val="00BE0248"/>
    <w:rsid w:val="00C425D6"/>
    <w:rsid w:val="00C938E4"/>
    <w:rsid w:val="00CD56E5"/>
    <w:rsid w:val="00CD7FAD"/>
    <w:rsid w:val="00D578F4"/>
    <w:rsid w:val="00DA28F4"/>
    <w:rsid w:val="00E45699"/>
    <w:rsid w:val="00ED4B6D"/>
    <w:rsid w:val="00F5742D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8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B2D1A"/>
  </w:style>
  <w:style w:type="character" w:styleId="Hyperlink">
    <w:name w:val="Hyperlink"/>
    <w:basedOn w:val="DefaultParagraphFont"/>
    <w:uiPriority w:val="99"/>
    <w:semiHidden/>
    <w:unhideWhenUsed/>
    <w:rsid w:val="005F16D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SDDisplay.aspx?NAME=SD1410&amp;ID=1410&amp;RPID=7644373&amp;sch=doc&amp;cat=13868&amp;path=13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Alker, Craig</cp:lastModifiedBy>
  <cp:revision>16</cp:revision>
  <dcterms:created xsi:type="dcterms:W3CDTF">2015-11-03T14:39:00Z</dcterms:created>
  <dcterms:modified xsi:type="dcterms:W3CDTF">2015-11-16T15:17:00Z</dcterms:modified>
</cp:coreProperties>
</file>